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9503" w14:textId="77777777" w:rsidR="005444E1" w:rsidRPr="00BE1C07" w:rsidRDefault="005444E1" w:rsidP="005444E1">
      <w:pPr>
        <w:jc w:val="center"/>
        <w:rPr>
          <w:b/>
          <w:color w:val="FF0000"/>
          <w:szCs w:val="24"/>
          <w:u w:val="single"/>
        </w:rPr>
      </w:pPr>
      <w:r w:rsidRPr="00BE1C07">
        <w:rPr>
          <w:b/>
          <w:color w:val="FF0000"/>
          <w:szCs w:val="24"/>
          <w:u w:val="single"/>
        </w:rPr>
        <w:t xml:space="preserve">Az összefoglalók beérkezési határideje: 2023 március 31.  </w:t>
      </w:r>
    </w:p>
    <w:p w14:paraId="7E728AB3" w14:textId="77777777" w:rsidR="005444E1" w:rsidRPr="00BE1C07" w:rsidRDefault="005444E1" w:rsidP="005444E1">
      <w:pPr>
        <w:jc w:val="center"/>
        <w:rPr>
          <w:b/>
          <w:color w:val="FF0000"/>
          <w:szCs w:val="24"/>
        </w:rPr>
      </w:pPr>
      <w:r w:rsidRPr="00BE1C07">
        <w:rPr>
          <w:b/>
          <w:color w:val="FF0000"/>
          <w:szCs w:val="24"/>
        </w:rPr>
        <w:t>A Tudományos Bizottság az előadásokat, illetve a posztereket 2023. április 30-ig elbírálja. A döntésről mindenkit e-mailben értesítünk.</w:t>
      </w:r>
    </w:p>
    <w:p w14:paraId="0B3FE38D" w14:textId="77777777" w:rsidR="005444E1" w:rsidRPr="00BE1C07" w:rsidRDefault="005444E1" w:rsidP="005444E1">
      <w:pPr>
        <w:jc w:val="center"/>
        <w:rPr>
          <w:b/>
          <w:szCs w:val="24"/>
        </w:rPr>
      </w:pPr>
    </w:p>
    <w:p w14:paraId="2D0948B4" w14:textId="77777777" w:rsidR="005444E1" w:rsidRPr="00BE1C07" w:rsidRDefault="005444E1" w:rsidP="005444E1">
      <w:pPr>
        <w:jc w:val="center"/>
        <w:rPr>
          <w:b/>
          <w:szCs w:val="24"/>
        </w:rPr>
      </w:pPr>
      <w:r w:rsidRPr="00BE1C07">
        <w:rPr>
          <w:b/>
          <w:szCs w:val="24"/>
        </w:rPr>
        <w:t xml:space="preserve">ABSZTRAKT BEJELENTŐ ŰRLAP </w:t>
      </w:r>
    </w:p>
    <w:p w14:paraId="5836E8DF" w14:textId="77777777" w:rsidR="005444E1" w:rsidRPr="00BE1C07" w:rsidRDefault="005444E1" w:rsidP="005444E1">
      <w:pPr>
        <w:rPr>
          <w:b/>
          <w:szCs w:val="24"/>
        </w:rPr>
      </w:pPr>
    </w:p>
    <w:p w14:paraId="4D9097CA" w14:textId="77777777" w:rsidR="005444E1" w:rsidRPr="00BE1C07" w:rsidRDefault="005444E1" w:rsidP="005444E1">
      <w:pPr>
        <w:jc w:val="both"/>
        <w:rPr>
          <w:szCs w:val="24"/>
        </w:rPr>
      </w:pPr>
      <w:r w:rsidRPr="00BE1C07">
        <w:rPr>
          <w:b/>
          <w:szCs w:val="24"/>
        </w:rPr>
        <w:t>ADATOK:</w:t>
      </w:r>
      <w:r w:rsidRPr="00BE1C07">
        <w:rPr>
          <w:szCs w:val="24"/>
        </w:rPr>
        <w:t xml:space="preserve"> </w:t>
      </w:r>
    </w:p>
    <w:p w14:paraId="3F1C05FC" w14:textId="77777777" w:rsidR="005444E1" w:rsidRPr="00BE1C07" w:rsidRDefault="005444E1" w:rsidP="005444E1">
      <w:pPr>
        <w:jc w:val="both"/>
        <w:rPr>
          <w:b/>
          <w:szCs w:val="24"/>
        </w:rPr>
      </w:pPr>
    </w:p>
    <w:p w14:paraId="311E7A13" w14:textId="77777777" w:rsidR="005444E1" w:rsidRPr="00BE1C07" w:rsidRDefault="005444E1" w:rsidP="005444E1">
      <w:pPr>
        <w:tabs>
          <w:tab w:val="left" w:pos="426"/>
          <w:tab w:val="left" w:pos="993"/>
        </w:tabs>
        <w:spacing w:after="120" w:line="280" w:lineRule="atLeast"/>
        <w:jc w:val="both"/>
        <w:rPr>
          <w:szCs w:val="24"/>
        </w:rPr>
      </w:pPr>
      <w:r w:rsidRPr="00BE1C07">
        <w:rPr>
          <w:szCs w:val="24"/>
        </w:rPr>
        <w:t xml:space="preserve">Prof. </w:t>
      </w:r>
      <w:r w:rsidRPr="00BE1C07">
        <w:rPr>
          <w:szCs w:val="24"/>
        </w:rPr>
        <w:sym w:font="Wingdings" w:char="F072"/>
      </w:r>
      <w:r w:rsidRPr="00BE1C07">
        <w:rPr>
          <w:szCs w:val="24"/>
        </w:rPr>
        <w:tab/>
        <w:t xml:space="preserve">Dr. </w:t>
      </w:r>
      <w:r w:rsidRPr="00BE1C07">
        <w:rPr>
          <w:szCs w:val="24"/>
        </w:rPr>
        <w:sym w:font="Wingdings" w:char="F072"/>
      </w:r>
    </w:p>
    <w:p w14:paraId="793E0975" w14:textId="77777777" w:rsidR="005444E1" w:rsidRPr="00BE1C07" w:rsidRDefault="005444E1" w:rsidP="005444E1">
      <w:pPr>
        <w:tabs>
          <w:tab w:val="right" w:leader="dot" w:pos="9406"/>
        </w:tabs>
        <w:spacing w:after="120" w:line="280" w:lineRule="atLeast"/>
        <w:jc w:val="both"/>
        <w:rPr>
          <w:szCs w:val="24"/>
        </w:rPr>
      </w:pPr>
      <w:r w:rsidRPr="00BE1C07">
        <w:rPr>
          <w:szCs w:val="24"/>
        </w:rPr>
        <w:t xml:space="preserve">Név: </w:t>
      </w:r>
      <w:r w:rsidRPr="00BE1C07">
        <w:rPr>
          <w:szCs w:val="24"/>
        </w:rPr>
        <w:tab/>
      </w:r>
    </w:p>
    <w:p w14:paraId="5BFDD68C" w14:textId="77777777" w:rsidR="005444E1" w:rsidRPr="00BE1C07" w:rsidRDefault="005444E1" w:rsidP="005444E1">
      <w:pPr>
        <w:tabs>
          <w:tab w:val="right" w:leader="dot" w:pos="9406"/>
        </w:tabs>
        <w:spacing w:after="120" w:line="280" w:lineRule="atLeast"/>
        <w:jc w:val="both"/>
        <w:rPr>
          <w:szCs w:val="24"/>
        </w:rPr>
      </w:pPr>
      <w:r w:rsidRPr="00BE1C07">
        <w:rPr>
          <w:szCs w:val="24"/>
        </w:rPr>
        <w:t xml:space="preserve">Munkahely: </w:t>
      </w:r>
      <w:r w:rsidRPr="00BE1C07">
        <w:rPr>
          <w:szCs w:val="24"/>
        </w:rPr>
        <w:tab/>
      </w:r>
    </w:p>
    <w:p w14:paraId="341C9B3E" w14:textId="77777777" w:rsidR="005444E1" w:rsidRPr="00BE1C07" w:rsidRDefault="005444E1" w:rsidP="005444E1">
      <w:pPr>
        <w:tabs>
          <w:tab w:val="right" w:leader="dot" w:pos="9406"/>
        </w:tabs>
        <w:spacing w:after="120" w:line="280" w:lineRule="atLeast"/>
        <w:jc w:val="both"/>
        <w:rPr>
          <w:szCs w:val="24"/>
        </w:rPr>
      </w:pPr>
      <w:r w:rsidRPr="00BE1C07">
        <w:rPr>
          <w:szCs w:val="24"/>
        </w:rPr>
        <w:t xml:space="preserve">Osztály: </w:t>
      </w:r>
      <w:r w:rsidRPr="00BE1C07">
        <w:rPr>
          <w:szCs w:val="24"/>
        </w:rPr>
        <w:tab/>
      </w:r>
    </w:p>
    <w:p w14:paraId="487C5FF5" w14:textId="77777777" w:rsidR="005444E1" w:rsidRPr="00BE1C07" w:rsidRDefault="005444E1" w:rsidP="005444E1">
      <w:pPr>
        <w:tabs>
          <w:tab w:val="left" w:pos="1701"/>
          <w:tab w:val="left" w:pos="2694"/>
          <w:tab w:val="left" w:pos="3686"/>
          <w:tab w:val="left" w:pos="4253"/>
        </w:tabs>
        <w:spacing w:after="120" w:line="280" w:lineRule="atLeast"/>
        <w:jc w:val="both"/>
        <w:rPr>
          <w:szCs w:val="24"/>
        </w:rPr>
      </w:pPr>
      <w:r w:rsidRPr="00BE1C07">
        <w:rPr>
          <w:szCs w:val="24"/>
        </w:rPr>
        <w:t>Levelezési cím:</w:t>
      </w:r>
      <w:r w:rsidRPr="00BE1C07">
        <w:rPr>
          <w:szCs w:val="24"/>
        </w:rPr>
        <w:tab/>
        <w:t xml:space="preserve">Munkahelyi </w:t>
      </w:r>
      <w:r w:rsidRPr="00BE1C07">
        <w:rPr>
          <w:szCs w:val="24"/>
        </w:rPr>
        <w:sym w:font="Wingdings" w:char="F072"/>
      </w:r>
      <w:r w:rsidRPr="00BE1C07">
        <w:rPr>
          <w:szCs w:val="24"/>
        </w:rPr>
        <w:tab/>
        <w:t xml:space="preserve">Otthoni </w:t>
      </w:r>
      <w:r w:rsidRPr="00BE1C07">
        <w:rPr>
          <w:szCs w:val="24"/>
        </w:rPr>
        <w:sym w:font="Wingdings" w:char="F072"/>
      </w:r>
    </w:p>
    <w:p w14:paraId="667A09F3" w14:textId="77777777" w:rsidR="005444E1" w:rsidRPr="00BE1C07" w:rsidRDefault="005444E1" w:rsidP="005444E1">
      <w:pPr>
        <w:tabs>
          <w:tab w:val="right" w:leader="dot" w:pos="9406"/>
        </w:tabs>
        <w:spacing w:after="120" w:line="280" w:lineRule="atLeast"/>
        <w:jc w:val="both"/>
        <w:rPr>
          <w:szCs w:val="24"/>
        </w:rPr>
      </w:pPr>
      <w:r w:rsidRPr="00BE1C07">
        <w:rPr>
          <w:szCs w:val="24"/>
        </w:rPr>
        <w:t xml:space="preserve">Irányítószám: </w:t>
      </w:r>
      <w:r w:rsidRPr="00BE1C07">
        <w:rPr>
          <w:szCs w:val="24"/>
        </w:rPr>
        <w:tab/>
      </w:r>
    </w:p>
    <w:p w14:paraId="72DCA835" w14:textId="77777777" w:rsidR="005444E1" w:rsidRPr="00BE1C07" w:rsidRDefault="005444E1" w:rsidP="005444E1">
      <w:pPr>
        <w:tabs>
          <w:tab w:val="right" w:leader="dot" w:pos="9406"/>
        </w:tabs>
        <w:spacing w:after="120" w:line="280" w:lineRule="atLeast"/>
        <w:jc w:val="both"/>
        <w:rPr>
          <w:szCs w:val="24"/>
        </w:rPr>
      </w:pPr>
      <w:r w:rsidRPr="00BE1C07">
        <w:rPr>
          <w:szCs w:val="24"/>
        </w:rPr>
        <w:t xml:space="preserve">Város: </w:t>
      </w:r>
      <w:r w:rsidRPr="00BE1C07">
        <w:rPr>
          <w:szCs w:val="24"/>
        </w:rPr>
        <w:tab/>
      </w:r>
    </w:p>
    <w:p w14:paraId="162DFFE7" w14:textId="77777777" w:rsidR="005444E1" w:rsidRPr="00BE1C07" w:rsidRDefault="005444E1" w:rsidP="005444E1">
      <w:pPr>
        <w:tabs>
          <w:tab w:val="right" w:leader="dot" w:pos="9406"/>
        </w:tabs>
        <w:spacing w:after="120" w:line="280" w:lineRule="atLeast"/>
        <w:jc w:val="both"/>
        <w:rPr>
          <w:szCs w:val="24"/>
        </w:rPr>
      </w:pPr>
      <w:r w:rsidRPr="00BE1C07">
        <w:rPr>
          <w:szCs w:val="24"/>
        </w:rPr>
        <w:t xml:space="preserve">Utca, </w:t>
      </w:r>
      <w:proofErr w:type="spellStart"/>
      <w:r w:rsidRPr="00BE1C07">
        <w:rPr>
          <w:szCs w:val="24"/>
        </w:rPr>
        <w:t>hsz</w:t>
      </w:r>
      <w:proofErr w:type="spellEnd"/>
      <w:r w:rsidRPr="00BE1C07">
        <w:rPr>
          <w:szCs w:val="24"/>
        </w:rPr>
        <w:t xml:space="preserve">. / Pf.: </w:t>
      </w:r>
      <w:r w:rsidRPr="00BE1C07">
        <w:rPr>
          <w:szCs w:val="24"/>
        </w:rPr>
        <w:tab/>
      </w:r>
    </w:p>
    <w:p w14:paraId="7DBF0420" w14:textId="77777777" w:rsidR="005444E1" w:rsidRPr="00BE1C07" w:rsidRDefault="005444E1" w:rsidP="005444E1">
      <w:pPr>
        <w:tabs>
          <w:tab w:val="right" w:leader="dot" w:pos="9406"/>
        </w:tabs>
        <w:spacing w:after="120" w:line="280" w:lineRule="atLeast"/>
        <w:rPr>
          <w:szCs w:val="24"/>
        </w:rPr>
      </w:pPr>
      <w:r w:rsidRPr="00BE1C07">
        <w:rPr>
          <w:szCs w:val="24"/>
        </w:rPr>
        <w:t xml:space="preserve">Tel.: </w:t>
      </w:r>
      <w:r w:rsidRPr="00BE1C07">
        <w:rPr>
          <w:szCs w:val="24"/>
        </w:rPr>
        <w:tab/>
      </w:r>
    </w:p>
    <w:p w14:paraId="240E3D35" w14:textId="77777777" w:rsidR="005444E1" w:rsidRPr="00BE1C07" w:rsidRDefault="005444E1" w:rsidP="005444E1">
      <w:pPr>
        <w:tabs>
          <w:tab w:val="right" w:leader="dot" w:pos="9406"/>
        </w:tabs>
        <w:spacing w:after="120" w:line="280" w:lineRule="atLeast"/>
        <w:jc w:val="both"/>
        <w:rPr>
          <w:szCs w:val="24"/>
        </w:rPr>
      </w:pPr>
      <w:r w:rsidRPr="00BE1C07">
        <w:rPr>
          <w:szCs w:val="24"/>
        </w:rPr>
        <w:t xml:space="preserve">E-mail: </w:t>
      </w:r>
      <w:r w:rsidRPr="00BE1C07">
        <w:rPr>
          <w:szCs w:val="24"/>
        </w:rPr>
        <w:tab/>
      </w:r>
    </w:p>
    <w:p w14:paraId="514EDE37" w14:textId="77777777" w:rsidR="005444E1" w:rsidRPr="00BE1C07" w:rsidRDefault="005444E1" w:rsidP="005444E1">
      <w:pPr>
        <w:tabs>
          <w:tab w:val="left" w:pos="1843"/>
        </w:tabs>
        <w:jc w:val="both"/>
        <w:rPr>
          <w:b/>
          <w:szCs w:val="24"/>
        </w:rPr>
      </w:pPr>
    </w:p>
    <w:p w14:paraId="59AFB427" w14:textId="77777777" w:rsidR="005444E1" w:rsidRPr="00BE1C07" w:rsidRDefault="005444E1" w:rsidP="005444E1">
      <w:pPr>
        <w:tabs>
          <w:tab w:val="left" w:pos="1843"/>
        </w:tabs>
        <w:jc w:val="both"/>
        <w:rPr>
          <w:b/>
          <w:szCs w:val="24"/>
        </w:rPr>
      </w:pPr>
      <w:r w:rsidRPr="00BE1C07">
        <w:rPr>
          <w:b/>
          <w:szCs w:val="24"/>
        </w:rPr>
        <w:t>ELŐZETES PREZENTÁCIÓS IGÉNY:</w:t>
      </w:r>
    </w:p>
    <w:p w14:paraId="449F23A5" w14:textId="77777777" w:rsidR="005444E1" w:rsidRPr="00BE1C07" w:rsidRDefault="005444E1" w:rsidP="005444E1">
      <w:pPr>
        <w:tabs>
          <w:tab w:val="left" w:pos="1843"/>
        </w:tabs>
        <w:jc w:val="both"/>
        <w:rPr>
          <w:b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</w:tblGrid>
      <w:tr w:rsidR="005444E1" w:rsidRPr="00BE1C07" w14:paraId="0A613E8C" w14:textId="77777777" w:rsidTr="00AC2556">
        <w:trPr>
          <w:jc w:val="center"/>
        </w:trPr>
        <w:tc>
          <w:tcPr>
            <w:tcW w:w="3070" w:type="dxa"/>
            <w:shd w:val="clear" w:color="auto" w:fill="auto"/>
          </w:tcPr>
          <w:p w14:paraId="282744DD" w14:textId="77777777" w:rsidR="005444E1" w:rsidRPr="00BE1C07" w:rsidRDefault="005444E1" w:rsidP="00AC2556">
            <w:pPr>
              <w:tabs>
                <w:tab w:val="left" w:pos="1843"/>
              </w:tabs>
              <w:jc w:val="center"/>
              <w:rPr>
                <w:rFonts w:eastAsia="Calibri"/>
                <w:szCs w:val="24"/>
              </w:rPr>
            </w:pPr>
            <w:r w:rsidRPr="00BE1C07">
              <w:rPr>
                <w:rFonts w:eastAsia="Calibri"/>
                <w:szCs w:val="24"/>
              </w:rPr>
              <w:sym w:font="Wingdings" w:char="F072"/>
            </w:r>
            <w:r w:rsidRPr="00BE1C07">
              <w:rPr>
                <w:rFonts w:eastAsia="Calibri"/>
                <w:szCs w:val="24"/>
              </w:rPr>
              <w:t xml:space="preserve"> ELŐADÁS</w:t>
            </w:r>
          </w:p>
        </w:tc>
        <w:tc>
          <w:tcPr>
            <w:tcW w:w="3071" w:type="dxa"/>
            <w:shd w:val="clear" w:color="auto" w:fill="auto"/>
          </w:tcPr>
          <w:p w14:paraId="0589968C" w14:textId="77777777" w:rsidR="005444E1" w:rsidRPr="00BE1C07" w:rsidRDefault="005444E1" w:rsidP="00AC2556">
            <w:pPr>
              <w:tabs>
                <w:tab w:val="left" w:pos="1843"/>
              </w:tabs>
              <w:jc w:val="center"/>
              <w:rPr>
                <w:rFonts w:eastAsia="Calibri"/>
                <w:szCs w:val="24"/>
              </w:rPr>
            </w:pPr>
            <w:r w:rsidRPr="00BE1C07">
              <w:rPr>
                <w:rFonts w:eastAsia="Calibri"/>
                <w:szCs w:val="24"/>
              </w:rPr>
              <w:sym w:font="Wingdings" w:char="F072"/>
            </w:r>
            <w:r w:rsidRPr="00BE1C07">
              <w:rPr>
                <w:rFonts w:eastAsia="Calibri"/>
                <w:szCs w:val="24"/>
              </w:rPr>
              <w:t xml:space="preserve"> POSZTER</w:t>
            </w:r>
          </w:p>
        </w:tc>
      </w:tr>
    </w:tbl>
    <w:p w14:paraId="4FA9317D" w14:textId="77777777" w:rsidR="005444E1" w:rsidRPr="00BE1C07" w:rsidRDefault="005444E1" w:rsidP="005444E1">
      <w:pPr>
        <w:tabs>
          <w:tab w:val="left" w:pos="1134"/>
          <w:tab w:val="left" w:pos="2835"/>
          <w:tab w:val="left" w:leader="dot" w:pos="6804"/>
        </w:tabs>
        <w:rPr>
          <w:szCs w:val="24"/>
        </w:rPr>
      </w:pPr>
    </w:p>
    <w:p w14:paraId="28DC5DD5" w14:textId="77777777" w:rsidR="005444E1" w:rsidRPr="00BE1C07" w:rsidRDefault="005444E1" w:rsidP="005444E1">
      <w:pPr>
        <w:tabs>
          <w:tab w:val="left" w:pos="1134"/>
          <w:tab w:val="left" w:pos="2835"/>
          <w:tab w:val="left" w:leader="dot" w:pos="6804"/>
        </w:tabs>
        <w:rPr>
          <w:szCs w:val="24"/>
        </w:rPr>
      </w:pPr>
    </w:p>
    <w:p w14:paraId="42EC8993" w14:textId="4017A190" w:rsidR="00BE1C07" w:rsidRDefault="00BE1C07" w:rsidP="005444E1">
      <w:pPr>
        <w:rPr>
          <w:szCs w:val="24"/>
        </w:rPr>
      </w:pPr>
      <w:r w:rsidRPr="00BE1C07">
        <w:rPr>
          <w:szCs w:val="24"/>
        </w:rPr>
        <w:t>A Kongresszus tudományos bizottsága fenntartja a jogát arra, hogy a beérkezett összefoglalók száma és témája szerint dönt előadás, illetve poszter szekcióba történő besorolásról. Erről értesítést küldünk.</w:t>
      </w:r>
    </w:p>
    <w:p w14:paraId="659DE681" w14:textId="77777777" w:rsidR="00BE1C07" w:rsidRDefault="00BE1C07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4578"/>
        <w:gridCol w:w="1177"/>
      </w:tblGrid>
      <w:tr w:rsidR="00BE1C07" w:rsidRPr="009B600B" w14:paraId="0A4381CE" w14:textId="77777777" w:rsidTr="00AC2556">
        <w:trPr>
          <w:trHeight w:hRule="exact" w:val="680"/>
          <w:jc w:val="center"/>
        </w:trPr>
        <w:tc>
          <w:tcPr>
            <w:tcW w:w="1049" w:type="dxa"/>
          </w:tcPr>
          <w:p w14:paraId="75A0D0DB" w14:textId="536F1543" w:rsidR="00BE1C07" w:rsidRPr="009B600B" w:rsidRDefault="00BE1C07" w:rsidP="00AC2556">
            <w:pPr>
              <w:jc w:val="center"/>
              <w:rPr>
                <w:szCs w:val="24"/>
                <w:lang w:val="en-US"/>
              </w:rPr>
            </w:pPr>
            <w:r w:rsidRPr="009B600B">
              <w:rPr>
                <w:szCs w:val="24"/>
                <w:lang w:val="de-DE"/>
              </w:rPr>
              <w:lastRenderedPageBreak/>
              <w:br w:type="column"/>
            </w:r>
            <w:r w:rsidRPr="009B600B">
              <w:rPr>
                <w:szCs w:val="24"/>
                <w:lang w:val="de-DE"/>
              </w:rPr>
              <w:br w:type="column"/>
            </w:r>
            <w:r w:rsidRPr="009B600B">
              <w:rPr>
                <w:szCs w:val="24"/>
                <w:lang w:val="de-DE"/>
              </w:rPr>
              <w:br w:type="column"/>
            </w:r>
            <w:r w:rsidRPr="009B600B">
              <w:rPr>
                <w:szCs w:val="24"/>
                <w:lang w:val="de-DE"/>
              </w:rPr>
              <w:br w:type="column"/>
            </w:r>
          </w:p>
        </w:tc>
        <w:tc>
          <w:tcPr>
            <w:tcW w:w="4578" w:type="dxa"/>
            <w:vAlign w:val="center"/>
          </w:tcPr>
          <w:p w14:paraId="35795446" w14:textId="77777777" w:rsidR="00BE1C07" w:rsidRPr="009B600B" w:rsidRDefault="00BE1C07" w:rsidP="00AC2556">
            <w:pPr>
              <w:jc w:val="center"/>
              <w:rPr>
                <w:b/>
                <w:szCs w:val="24"/>
                <w:lang w:val="en-US"/>
              </w:rPr>
            </w:pPr>
            <w:r w:rsidRPr="009B600B">
              <w:rPr>
                <w:b/>
                <w:szCs w:val="24"/>
                <w:lang w:val="en-US"/>
              </w:rPr>
              <w:t>ABSTRACT</w:t>
            </w:r>
          </w:p>
          <w:p w14:paraId="0AA2DEDE" w14:textId="77777777" w:rsidR="00BE1C07" w:rsidRPr="009B600B" w:rsidRDefault="00BE1C07" w:rsidP="00AC2556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177" w:type="dxa"/>
          </w:tcPr>
          <w:p w14:paraId="254CB188" w14:textId="06993709" w:rsidR="00BE1C07" w:rsidRPr="009B600B" w:rsidRDefault="00BE1C07" w:rsidP="00AC2556">
            <w:pPr>
              <w:jc w:val="center"/>
              <w:rPr>
                <w:szCs w:val="24"/>
                <w:lang w:val="en-US"/>
              </w:rPr>
            </w:pPr>
          </w:p>
        </w:tc>
      </w:tr>
      <w:tr w:rsidR="00BE1C07" w:rsidRPr="009B600B" w14:paraId="2CBF642D" w14:textId="77777777" w:rsidTr="00AC2556">
        <w:trPr>
          <w:trHeight w:hRule="exact" w:val="9639"/>
          <w:jc w:val="center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75AE" w14:textId="77777777" w:rsidR="00BE1C07" w:rsidRPr="009B600B" w:rsidRDefault="00BE1C07" w:rsidP="00AC2556">
            <w:pPr>
              <w:jc w:val="both"/>
              <w:rPr>
                <w:szCs w:val="24"/>
                <w:lang w:val="en-US"/>
              </w:rPr>
            </w:pPr>
          </w:p>
          <w:p w14:paraId="16CA76BF" w14:textId="77777777" w:rsidR="00BE1C07" w:rsidRPr="009B600B" w:rsidRDefault="00BE1C07" w:rsidP="00AC2556">
            <w:pPr>
              <w:jc w:val="both"/>
              <w:rPr>
                <w:szCs w:val="24"/>
                <w:lang w:val="en-US"/>
              </w:rPr>
            </w:pPr>
          </w:p>
          <w:p w14:paraId="703A2B64" w14:textId="77777777" w:rsidR="00BE1C07" w:rsidRPr="009B600B" w:rsidRDefault="00BE1C07" w:rsidP="00AC2556">
            <w:pPr>
              <w:jc w:val="both"/>
              <w:rPr>
                <w:szCs w:val="24"/>
                <w:lang w:val="en-US"/>
              </w:rPr>
            </w:pPr>
          </w:p>
          <w:p w14:paraId="029F8967" w14:textId="77777777" w:rsidR="00BE1C07" w:rsidRPr="009B600B" w:rsidRDefault="00BE1C07" w:rsidP="00AC2556">
            <w:pPr>
              <w:jc w:val="both"/>
              <w:rPr>
                <w:szCs w:val="24"/>
                <w:lang w:val="en-US"/>
              </w:rPr>
            </w:pPr>
          </w:p>
          <w:p w14:paraId="3D66E173" w14:textId="77777777" w:rsidR="00BE1C07" w:rsidRPr="009B600B" w:rsidRDefault="00BE1C07" w:rsidP="00AC2556">
            <w:pPr>
              <w:jc w:val="both"/>
              <w:rPr>
                <w:szCs w:val="24"/>
                <w:lang w:val="en-US"/>
              </w:rPr>
            </w:pPr>
          </w:p>
          <w:p w14:paraId="2EE3D8FD" w14:textId="77777777" w:rsidR="00BE1C07" w:rsidRPr="009B600B" w:rsidRDefault="00BE1C07" w:rsidP="00AC2556">
            <w:pPr>
              <w:jc w:val="both"/>
              <w:rPr>
                <w:szCs w:val="24"/>
                <w:lang w:val="en-US"/>
              </w:rPr>
            </w:pPr>
          </w:p>
          <w:p w14:paraId="76083514" w14:textId="77777777" w:rsidR="00BE1C07" w:rsidRPr="009B600B" w:rsidRDefault="00BE1C07" w:rsidP="00AC2556">
            <w:pPr>
              <w:jc w:val="both"/>
              <w:rPr>
                <w:szCs w:val="24"/>
                <w:lang w:val="en-US"/>
              </w:rPr>
            </w:pPr>
          </w:p>
          <w:p w14:paraId="33E931EF" w14:textId="77777777" w:rsidR="00BE1C07" w:rsidRPr="009B600B" w:rsidRDefault="00BE1C07" w:rsidP="00AC2556">
            <w:pPr>
              <w:jc w:val="both"/>
              <w:rPr>
                <w:szCs w:val="24"/>
                <w:lang w:val="en-US"/>
              </w:rPr>
            </w:pPr>
          </w:p>
          <w:p w14:paraId="142D666F" w14:textId="77777777" w:rsidR="00BE1C07" w:rsidRPr="009B600B" w:rsidRDefault="00BE1C07" w:rsidP="00AC2556">
            <w:pPr>
              <w:jc w:val="both"/>
              <w:rPr>
                <w:szCs w:val="24"/>
                <w:lang w:val="en-US"/>
              </w:rPr>
            </w:pPr>
          </w:p>
        </w:tc>
      </w:tr>
    </w:tbl>
    <w:p w14:paraId="3B36CB07" w14:textId="77777777" w:rsidR="005444E1" w:rsidRPr="00BE1C07" w:rsidRDefault="005444E1" w:rsidP="005444E1">
      <w:pPr>
        <w:rPr>
          <w:b/>
          <w:szCs w:val="24"/>
        </w:rPr>
      </w:pPr>
    </w:p>
    <w:p w14:paraId="0766AAE4" w14:textId="77777777" w:rsidR="005444E1" w:rsidRPr="00BE1C07" w:rsidRDefault="005444E1" w:rsidP="005444E1">
      <w:pPr>
        <w:rPr>
          <w:b/>
          <w:szCs w:val="24"/>
        </w:rPr>
      </w:pPr>
    </w:p>
    <w:p w14:paraId="08B6A22E" w14:textId="02C1B8D2" w:rsidR="009B600B" w:rsidRDefault="009B600B">
      <w:pPr>
        <w:spacing w:after="160" w:line="259" w:lineRule="auto"/>
        <w:rPr>
          <w:b/>
          <w:szCs w:val="24"/>
        </w:rPr>
      </w:pPr>
      <w:r>
        <w:rPr>
          <w:b/>
          <w:szCs w:val="24"/>
        </w:rPr>
        <w:br w:type="page"/>
      </w:r>
    </w:p>
    <w:p w14:paraId="61F3E1E0" w14:textId="642D3E04" w:rsidR="009B600B" w:rsidRDefault="009B600B" w:rsidP="009B600B">
      <w:pPr>
        <w:rPr>
          <w:b/>
          <w:color w:val="FF0000"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4578"/>
        <w:gridCol w:w="1177"/>
      </w:tblGrid>
      <w:tr w:rsidR="009B600B" w:rsidRPr="009B600B" w14:paraId="46121290" w14:textId="77777777" w:rsidTr="00AC2556">
        <w:trPr>
          <w:trHeight w:hRule="exact" w:val="680"/>
          <w:jc w:val="center"/>
        </w:trPr>
        <w:tc>
          <w:tcPr>
            <w:tcW w:w="1049" w:type="dxa"/>
          </w:tcPr>
          <w:p w14:paraId="420D193E" w14:textId="77777777" w:rsidR="009B600B" w:rsidRPr="009B600B" w:rsidRDefault="009B600B" w:rsidP="00AC2556">
            <w:pPr>
              <w:jc w:val="center"/>
              <w:rPr>
                <w:sz w:val="20"/>
                <w:lang w:val="en-US"/>
              </w:rPr>
            </w:pPr>
            <w:r w:rsidRPr="009B600B">
              <w:rPr>
                <w:lang w:val="en-US"/>
              </w:rPr>
              <w:br w:type="column"/>
            </w:r>
            <w:r w:rsidRPr="009B600B">
              <w:rPr>
                <w:sz w:val="20"/>
                <w:lang w:val="en-US"/>
              </w:rPr>
              <w:br w:type="column"/>
            </w:r>
            <w:r w:rsidRPr="009B600B">
              <w:rPr>
                <w:sz w:val="20"/>
                <w:lang w:val="en-US"/>
              </w:rPr>
              <w:br w:type="column"/>
            </w:r>
            <w:r w:rsidRPr="009B600B">
              <w:rPr>
                <w:lang w:val="en-US"/>
              </w:rPr>
              <w:br w:type="column"/>
            </w:r>
          </w:p>
        </w:tc>
        <w:tc>
          <w:tcPr>
            <w:tcW w:w="4578" w:type="dxa"/>
            <w:vAlign w:val="center"/>
          </w:tcPr>
          <w:p w14:paraId="679514FA" w14:textId="62D6CCC5" w:rsidR="009B600B" w:rsidRPr="003C4B23" w:rsidRDefault="003C4B23" w:rsidP="003C4B23">
            <w:pPr>
              <w:jc w:val="center"/>
              <w:rPr>
                <w:b/>
                <w:szCs w:val="24"/>
                <w:lang w:val="en-US"/>
              </w:rPr>
            </w:pPr>
            <w:r w:rsidRPr="003C4B23">
              <w:rPr>
                <w:b/>
                <w:szCs w:val="24"/>
                <w:lang w:val="en-US"/>
              </w:rPr>
              <w:t>MINTA</w:t>
            </w:r>
          </w:p>
        </w:tc>
        <w:tc>
          <w:tcPr>
            <w:tcW w:w="1177" w:type="dxa"/>
          </w:tcPr>
          <w:p w14:paraId="5D52A1B2" w14:textId="77777777" w:rsidR="009B600B" w:rsidRPr="009B600B" w:rsidRDefault="009B600B" w:rsidP="00AC2556">
            <w:pPr>
              <w:jc w:val="center"/>
              <w:rPr>
                <w:sz w:val="20"/>
                <w:lang w:val="en-US"/>
              </w:rPr>
            </w:pPr>
          </w:p>
        </w:tc>
      </w:tr>
      <w:tr w:rsidR="009B600B" w:rsidRPr="009B600B" w14:paraId="2A22FDA9" w14:textId="77777777" w:rsidTr="00AC2556">
        <w:trPr>
          <w:trHeight w:hRule="exact" w:val="9639"/>
          <w:jc w:val="center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038B" w14:textId="77777777" w:rsidR="009B600B" w:rsidRPr="009B600B" w:rsidRDefault="009B600B" w:rsidP="00AC2556">
            <w:pPr>
              <w:jc w:val="both"/>
              <w:rPr>
                <w:b/>
                <w:color w:val="FF0000"/>
                <w:lang w:val="en-GB"/>
              </w:rPr>
            </w:pPr>
            <w:r w:rsidRPr="009B600B">
              <w:rPr>
                <w:b/>
                <w:lang w:val="en-GB"/>
              </w:rPr>
              <w:t>Serum Fetuin-A investigation in uremic and renal transplanted children</w:t>
            </w:r>
          </w:p>
          <w:p w14:paraId="5E17AE2E" w14:textId="77777777" w:rsidR="009B600B" w:rsidRPr="009B600B" w:rsidRDefault="009B600B" w:rsidP="00AC2556">
            <w:pPr>
              <w:jc w:val="center"/>
              <w:rPr>
                <w:b/>
                <w:lang w:val="en-GB"/>
              </w:rPr>
            </w:pPr>
          </w:p>
          <w:p w14:paraId="4D820DE0" w14:textId="77777777" w:rsidR="009B600B" w:rsidRPr="009B600B" w:rsidRDefault="009B600B" w:rsidP="00AC2556">
            <w:pPr>
              <w:jc w:val="both"/>
              <w:rPr>
                <w:lang w:val="en-GB"/>
              </w:rPr>
            </w:pPr>
            <w:r w:rsidRPr="009B600B">
              <w:rPr>
                <w:u w:val="single"/>
                <w:lang w:val="en-GB"/>
              </w:rPr>
              <w:t xml:space="preserve">D. </w:t>
            </w:r>
            <w:proofErr w:type="spellStart"/>
            <w:r w:rsidRPr="009B600B">
              <w:rPr>
                <w:u w:val="single"/>
                <w:lang w:val="en-GB"/>
              </w:rPr>
              <w:t>Pászka</w:t>
            </w:r>
            <w:proofErr w:type="spellEnd"/>
            <w:r w:rsidRPr="009B600B">
              <w:rPr>
                <w:lang w:val="en-GB"/>
              </w:rPr>
              <w:t xml:space="preserve">, E. </w:t>
            </w:r>
            <w:proofErr w:type="spellStart"/>
            <w:r w:rsidRPr="009B600B">
              <w:rPr>
                <w:lang w:val="en-GB"/>
              </w:rPr>
              <w:t>Kis</w:t>
            </w:r>
            <w:proofErr w:type="spellEnd"/>
            <w:r w:rsidRPr="009B600B">
              <w:rPr>
                <w:lang w:val="en-GB"/>
              </w:rPr>
              <w:t xml:space="preserve">, O. </w:t>
            </w:r>
            <w:proofErr w:type="spellStart"/>
            <w:r w:rsidRPr="009B600B">
              <w:rPr>
                <w:lang w:val="en-GB"/>
              </w:rPr>
              <w:t>Cseprekál</w:t>
            </w:r>
            <w:proofErr w:type="spellEnd"/>
            <w:r w:rsidRPr="009B600B">
              <w:rPr>
                <w:lang w:val="en-GB"/>
              </w:rPr>
              <w:t xml:space="preserve">, G.S. </w:t>
            </w:r>
            <w:proofErr w:type="spellStart"/>
            <w:r w:rsidRPr="009B600B">
              <w:rPr>
                <w:lang w:val="en-GB"/>
              </w:rPr>
              <w:t>Reusz</w:t>
            </w:r>
            <w:proofErr w:type="spellEnd"/>
            <w:r w:rsidRPr="009B600B">
              <w:rPr>
                <w:lang w:val="en-GB"/>
              </w:rPr>
              <w:t xml:space="preserve">, A. </w:t>
            </w:r>
            <w:proofErr w:type="spellStart"/>
            <w:r w:rsidRPr="009B600B">
              <w:rPr>
                <w:lang w:val="en-GB"/>
              </w:rPr>
              <w:t>Szabó</w:t>
            </w:r>
            <w:proofErr w:type="spellEnd"/>
          </w:p>
          <w:p w14:paraId="115B2B2F" w14:textId="308198FA" w:rsidR="009B600B" w:rsidRPr="009B600B" w:rsidRDefault="009B600B" w:rsidP="00AC2556">
            <w:pPr>
              <w:jc w:val="both"/>
              <w:rPr>
                <w:lang w:val="en-GB"/>
              </w:rPr>
            </w:pPr>
            <w:smartTag w:uri="urn:schemas-microsoft-com:office:smarttags" w:element="PlaceName">
              <w:r w:rsidRPr="009B600B">
                <w:rPr>
                  <w:lang w:val="en-GB"/>
                </w:rPr>
                <w:t>Semmelweis</w:t>
              </w:r>
            </w:smartTag>
            <w:r w:rsidRPr="009B600B">
              <w:rPr>
                <w:lang w:val="en-GB"/>
              </w:rPr>
              <w:t xml:space="preserve"> </w:t>
            </w:r>
            <w:smartTag w:uri="urn:schemas-microsoft-com:office:smarttags" w:element="PlaceType">
              <w:r w:rsidRPr="009B600B">
                <w:rPr>
                  <w:lang w:val="en-GB"/>
                </w:rPr>
                <w:t>University</w:t>
              </w:r>
            </w:smartTag>
            <w:r w:rsidRPr="009B600B">
              <w:rPr>
                <w:lang w:val="en-GB"/>
              </w:rPr>
              <w:t xml:space="preserve">, Dept. </w:t>
            </w:r>
            <w:proofErr w:type="spellStart"/>
            <w:r w:rsidRPr="009B600B">
              <w:rPr>
                <w:lang w:val="en-GB"/>
              </w:rPr>
              <w:t>Pediatrics</w:t>
            </w:r>
            <w:proofErr w:type="spellEnd"/>
            <w:r w:rsidRPr="009B600B">
              <w:rPr>
                <w:lang w:val="en-GB"/>
              </w:rPr>
              <w:t>, Budapest, Hungary</w:t>
            </w:r>
          </w:p>
          <w:p w14:paraId="7194779F" w14:textId="77777777" w:rsidR="009B600B" w:rsidRPr="009B600B" w:rsidRDefault="009B600B" w:rsidP="00AC2556">
            <w:pPr>
              <w:jc w:val="both"/>
              <w:rPr>
                <w:b/>
                <w:lang w:val="it-IT"/>
              </w:rPr>
            </w:pPr>
          </w:p>
          <w:p w14:paraId="67BE0EE3" w14:textId="77777777" w:rsidR="009B600B" w:rsidRPr="009B600B" w:rsidRDefault="009B600B" w:rsidP="00AC2556">
            <w:pPr>
              <w:jc w:val="both"/>
              <w:rPr>
                <w:lang w:val="en-US"/>
              </w:rPr>
            </w:pPr>
            <w:r w:rsidRPr="009B600B">
              <w:rPr>
                <w:lang w:val="en-US"/>
              </w:rPr>
              <w:t>Fetuin-A glycoprotein acts as a circulating inhibitor of ectopic calcification. The present work is to study the Fetuin-A concentration, and CaHPO</w:t>
            </w:r>
            <w:r w:rsidRPr="009B600B">
              <w:rPr>
                <w:szCs w:val="24"/>
                <w:vertAlign w:val="subscript"/>
                <w:lang w:val="en-US"/>
              </w:rPr>
              <w:t>4</w:t>
            </w:r>
            <w:r w:rsidRPr="009B600B">
              <w:rPr>
                <w:lang w:val="en-US"/>
              </w:rPr>
              <w:t xml:space="preserve"> binding capacity at various patient groups. Data of 14 chronic renal failure (CRF on dialysis treatment) and of 24 kidney transplanted (KTX) children were compared to a healthy control group (36 age-matched individuals). KTX children’s parameters were taken before and 1-4 years following transplantation. Three different calculations were used to approach of calcification: Ca x P concentration product, Ca-P ion activity value and concentration of CaHPO</w:t>
            </w:r>
            <w:r w:rsidRPr="009B600B">
              <w:rPr>
                <w:szCs w:val="24"/>
                <w:vertAlign w:val="subscript"/>
                <w:lang w:val="en-US"/>
              </w:rPr>
              <w:t>4</w:t>
            </w:r>
            <w:r w:rsidRPr="009B600B">
              <w:rPr>
                <w:lang w:val="en-US"/>
              </w:rPr>
              <w:t>.  Fetuin-A serum concentration was investigated by ELISA test (DRG International Inc.). Results are presented as mean ± SD, and Student-t test is used (*p &lt; 0.05, **p &lt; 0.01 ***p &lt; 0.001 vs. control group).</w:t>
            </w:r>
          </w:p>
          <w:p w14:paraId="014E0BB0" w14:textId="77777777" w:rsidR="009B600B" w:rsidRPr="009B600B" w:rsidRDefault="009B600B" w:rsidP="00AC2556">
            <w:pPr>
              <w:jc w:val="both"/>
              <w:rPr>
                <w:sz w:val="20"/>
                <w:lang w:val="en-US"/>
              </w:rPr>
            </w:pPr>
            <w:r w:rsidRPr="009B600B">
              <w:rPr>
                <w:lang w:val="en-US"/>
              </w:rPr>
              <w:t>The Ca x P product and the Ca-P activity value were not sufficient informative, because they did not represent the direction of change in the product members. The serum CaHPO</w:t>
            </w:r>
            <w:r w:rsidRPr="009B600B">
              <w:rPr>
                <w:szCs w:val="24"/>
                <w:vertAlign w:val="subscript"/>
                <w:lang w:val="en-US"/>
              </w:rPr>
              <w:t>4</w:t>
            </w:r>
            <w:r w:rsidRPr="009B600B">
              <w:rPr>
                <w:lang w:val="en-US"/>
              </w:rPr>
              <w:t xml:space="preserve"> concentration (mmol/L) was increased significantly in the CRF group (0.38 ± 0.17***) and the KTX group (before transplantation 0.38 ± 0.13***) compared to the healthy control group (0.26 ± 0.06).  After 1 and 4 years to transplantation the CaHPO</w:t>
            </w:r>
            <w:r w:rsidRPr="009B600B">
              <w:rPr>
                <w:szCs w:val="24"/>
                <w:vertAlign w:val="subscript"/>
                <w:lang w:val="en-US"/>
              </w:rPr>
              <w:t>4</w:t>
            </w:r>
            <w:r w:rsidRPr="009B600B">
              <w:rPr>
                <w:lang w:val="en-US"/>
              </w:rPr>
              <w:t xml:space="preserve"> concentration decreased to the normal range in the KTX group. Serum concentration of Fetuin-A was 0.89 ± 0.21 g/L in healthy group, lower in CRF children (0.66 ± 0.37**) and in KTX group (0.71 ± 0.28**). The CaHPO</w:t>
            </w:r>
            <w:r w:rsidRPr="009B600B">
              <w:rPr>
                <w:szCs w:val="24"/>
                <w:vertAlign w:val="subscript"/>
                <w:lang w:val="en-US"/>
              </w:rPr>
              <w:t>4</w:t>
            </w:r>
            <w:r w:rsidRPr="009B600B">
              <w:rPr>
                <w:lang w:val="en-US"/>
              </w:rPr>
              <w:t>/Fetuin-A ratio - as indicator of binding capacity - was significantly higher in CRF group (0.72 ± 0.46*** mmol/g), in KTX group after 4 years transplantation (0.50 ± 0.26***) vs. healthy control (0.30 ± 0.10). There was a positive correlation between Fetuin-A and CaHPO</w:t>
            </w:r>
            <w:r w:rsidRPr="009B600B">
              <w:rPr>
                <w:szCs w:val="24"/>
                <w:vertAlign w:val="subscript"/>
                <w:lang w:val="en-US"/>
              </w:rPr>
              <w:t>4</w:t>
            </w:r>
            <w:r w:rsidRPr="009B600B">
              <w:rPr>
                <w:lang w:val="en-US"/>
              </w:rPr>
              <w:t xml:space="preserve"> concentrations in CRF and KTX patient (r = 0.532). The high CaHPO</w:t>
            </w:r>
            <w:r w:rsidRPr="009B600B">
              <w:rPr>
                <w:szCs w:val="24"/>
                <w:vertAlign w:val="subscript"/>
                <w:lang w:val="en-US"/>
              </w:rPr>
              <w:t>4</w:t>
            </w:r>
            <w:r w:rsidRPr="009B600B">
              <w:rPr>
                <w:lang w:val="en-US"/>
              </w:rPr>
              <w:t xml:space="preserve">/Fetuin-A ratio provides useful </w:t>
            </w:r>
            <w:proofErr w:type="spellStart"/>
            <w:r w:rsidRPr="009B600B">
              <w:rPr>
                <w:lang w:val="en-US"/>
              </w:rPr>
              <w:t>informati</w:t>
            </w:r>
            <w:proofErr w:type="spellEnd"/>
            <w:r w:rsidRPr="009B600B">
              <w:rPr>
                <w:lang w:val="en-US"/>
              </w:rPr>
              <w:t xml:space="preserve"> higher cardiovascular risk.</w:t>
            </w:r>
          </w:p>
        </w:tc>
      </w:tr>
    </w:tbl>
    <w:p w14:paraId="36B11205" w14:textId="77777777" w:rsidR="009B600B" w:rsidRPr="00DE5683" w:rsidRDefault="009B600B" w:rsidP="009B600B">
      <w:pPr>
        <w:rPr>
          <w:b/>
          <w:color w:val="FF0000"/>
          <w:sz w:val="20"/>
        </w:rPr>
      </w:pPr>
    </w:p>
    <w:sectPr w:rsidR="009B600B" w:rsidRPr="00DE5683" w:rsidSect="005444E1">
      <w:headerReference w:type="default" r:id="rId7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EE6A3" w14:textId="77777777" w:rsidR="00EB2DC5" w:rsidRDefault="00EB2DC5" w:rsidP="00EB2DC5">
      <w:r>
        <w:separator/>
      </w:r>
    </w:p>
  </w:endnote>
  <w:endnote w:type="continuationSeparator" w:id="0">
    <w:p w14:paraId="16FCFAF1" w14:textId="77777777" w:rsidR="00EB2DC5" w:rsidRDefault="00EB2DC5" w:rsidP="00EB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3C7C1" w14:textId="77777777" w:rsidR="00EB2DC5" w:rsidRDefault="00EB2DC5" w:rsidP="00EB2DC5">
      <w:r>
        <w:separator/>
      </w:r>
    </w:p>
  </w:footnote>
  <w:footnote w:type="continuationSeparator" w:id="0">
    <w:p w14:paraId="3ACEE681" w14:textId="77777777" w:rsidR="00EB2DC5" w:rsidRDefault="00EB2DC5" w:rsidP="00EB2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26F9" w14:textId="4F46E84E" w:rsidR="00EB2DC5" w:rsidRPr="00EB2DC5" w:rsidRDefault="0001111E">
    <w:pPr>
      <w:pStyle w:val="lfej"/>
      <w:rPr>
        <w:b/>
        <w:bCs/>
      </w:rPr>
    </w:pPr>
    <w:r>
      <w:rPr>
        <w:b/>
        <w:bCs/>
        <w:sz w:val="36"/>
        <w:szCs w:val="36"/>
      </w:rPr>
      <w:br/>
    </w:r>
    <w:r w:rsidR="00EB2DC5" w:rsidRPr="00EB2DC5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37C7C36" wp14:editId="522D9C10">
          <wp:simplePos x="0" y="0"/>
          <wp:positionH relativeFrom="column">
            <wp:posOffset>-1270</wp:posOffset>
          </wp:positionH>
          <wp:positionV relativeFrom="paragraph">
            <wp:posOffset>65875</wp:posOffset>
          </wp:positionV>
          <wp:extent cx="1355630" cy="1168842"/>
          <wp:effectExtent l="0" t="0" r="0" b="0"/>
          <wp:wrapSquare wrapText="bothSides"/>
          <wp:docPr id="40" name="Kép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630" cy="1168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2DC5" w:rsidRPr="00EB2DC5">
      <w:rPr>
        <w:b/>
        <w:bCs/>
        <w:sz w:val="36"/>
        <w:szCs w:val="36"/>
      </w:rPr>
      <w:t>Magyar Laboratóriumi Diagnosztikai Társaság 61. Nagygyűlése</w:t>
    </w:r>
    <w:r w:rsidR="00EB2DC5" w:rsidRPr="00EB2DC5">
      <w:rPr>
        <w:b/>
        <w:bCs/>
      </w:rPr>
      <w:t xml:space="preserve"> </w:t>
    </w:r>
  </w:p>
  <w:p w14:paraId="077B92BA" w14:textId="4F20E07E" w:rsidR="00EB2DC5" w:rsidRPr="00EB2DC5" w:rsidRDefault="00EB2DC5" w:rsidP="00EB2DC5">
    <w:pPr>
      <w:pStyle w:val="lfej"/>
      <w:rPr>
        <w:szCs w:val="24"/>
      </w:rPr>
    </w:pPr>
    <w:r w:rsidRPr="00EB2DC5">
      <w:rPr>
        <w:szCs w:val="24"/>
      </w:rPr>
      <w:t>2023. június 8-10.</w:t>
    </w:r>
  </w:p>
  <w:p w14:paraId="484AF753" w14:textId="4A76200B" w:rsidR="00EB2DC5" w:rsidRPr="00EB2DC5" w:rsidRDefault="00EB2DC5" w:rsidP="00EB2DC5">
    <w:pPr>
      <w:pStyle w:val="lfej"/>
      <w:rPr>
        <w:szCs w:val="24"/>
      </w:rPr>
    </w:pPr>
    <w:r w:rsidRPr="00EB2DC5">
      <w:rPr>
        <w:szCs w:val="24"/>
      </w:rPr>
      <w:t>Semmelweis Egyetem - Nagyvárad téri Elméleti Tömb, Budapest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C3803"/>
    <w:multiLevelType w:val="singleLevel"/>
    <w:tmpl w:val="040E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26605AB5"/>
    <w:multiLevelType w:val="hybridMultilevel"/>
    <w:tmpl w:val="2D2A190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C7F48"/>
    <w:multiLevelType w:val="hybridMultilevel"/>
    <w:tmpl w:val="7DF0CA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3262D"/>
    <w:multiLevelType w:val="hybridMultilevel"/>
    <w:tmpl w:val="A3B0071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16A88"/>
    <w:multiLevelType w:val="hybridMultilevel"/>
    <w:tmpl w:val="444EB3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482568">
    <w:abstractNumId w:val="2"/>
  </w:num>
  <w:num w:numId="2" w16cid:durableId="362679491">
    <w:abstractNumId w:val="0"/>
  </w:num>
  <w:num w:numId="3" w16cid:durableId="1047071662">
    <w:abstractNumId w:val="1"/>
  </w:num>
  <w:num w:numId="4" w16cid:durableId="146478296">
    <w:abstractNumId w:val="3"/>
  </w:num>
  <w:num w:numId="5" w16cid:durableId="19606064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C5"/>
    <w:rsid w:val="0001111E"/>
    <w:rsid w:val="000A6AE3"/>
    <w:rsid w:val="0017326F"/>
    <w:rsid w:val="002B3635"/>
    <w:rsid w:val="002D02CB"/>
    <w:rsid w:val="00311DC2"/>
    <w:rsid w:val="00363345"/>
    <w:rsid w:val="003A61DD"/>
    <w:rsid w:val="003C4B23"/>
    <w:rsid w:val="004F074A"/>
    <w:rsid w:val="005428D1"/>
    <w:rsid w:val="005444E1"/>
    <w:rsid w:val="005C3B54"/>
    <w:rsid w:val="00601195"/>
    <w:rsid w:val="00634208"/>
    <w:rsid w:val="00681732"/>
    <w:rsid w:val="008200D4"/>
    <w:rsid w:val="00885BF4"/>
    <w:rsid w:val="008A4FA5"/>
    <w:rsid w:val="00911481"/>
    <w:rsid w:val="0098284F"/>
    <w:rsid w:val="009B600B"/>
    <w:rsid w:val="00A03BE8"/>
    <w:rsid w:val="00B57EEA"/>
    <w:rsid w:val="00BE1C07"/>
    <w:rsid w:val="00DE5683"/>
    <w:rsid w:val="00EB2DC5"/>
    <w:rsid w:val="00F2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,"/>
  <w:listSeparator w:val=";"/>
  <w14:docId w14:val="565A1C45"/>
  <w15:chartTrackingRefBased/>
  <w15:docId w15:val="{24ACFD21-6B7C-4327-9DBF-B861B366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444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B2DC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B2DC5"/>
  </w:style>
  <w:style w:type="paragraph" w:styleId="llb">
    <w:name w:val="footer"/>
    <w:basedOn w:val="Norml"/>
    <w:link w:val="llbChar"/>
    <w:uiPriority w:val="99"/>
    <w:unhideWhenUsed/>
    <w:rsid w:val="00EB2D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B2DC5"/>
  </w:style>
  <w:style w:type="character" w:styleId="Hiperhivatkozs">
    <w:name w:val="Hyperlink"/>
    <w:basedOn w:val="Bekezdsalapbettpusa"/>
    <w:uiPriority w:val="99"/>
    <w:semiHidden/>
    <w:unhideWhenUsed/>
    <w:rsid w:val="002B363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B3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 Tóth</dc:creator>
  <cp:keywords/>
  <dc:description/>
  <cp:lastModifiedBy>Nikolett Tóth</cp:lastModifiedBy>
  <cp:revision>2</cp:revision>
  <dcterms:created xsi:type="dcterms:W3CDTF">2023-01-26T14:48:00Z</dcterms:created>
  <dcterms:modified xsi:type="dcterms:W3CDTF">2023-01-26T14:48:00Z</dcterms:modified>
</cp:coreProperties>
</file>